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贵州省供销合作社联合社</w:t>
      </w:r>
      <w:r>
        <w:rPr>
          <w:rFonts w:hint="eastAsia"/>
          <w:b/>
          <w:bCs/>
          <w:sz w:val="32"/>
          <w:szCs w:val="32"/>
        </w:rPr>
        <w:t>农产品现代流通体系建设与农村合作金融风险控制专题培训</w:t>
      </w:r>
      <w:r>
        <w:rPr>
          <w:rFonts w:hint="eastAsia"/>
          <w:b/>
          <w:bCs/>
          <w:sz w:val="32"/>
          <w:szCs w:val="32"/>
          <w:lang w:eastAsia="zh-CN"/>
        </w:rPr>
        <w:t>团费用明细表（总）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3"/>
        <w:tblW w:w="9840" w:type="dxa"/>
        <w:jc w:val="center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65"/>
        <w:gridCol w:w="1144"/>
        <w:gridCol w:w="1830"/>
        <w:gridCol w:w="1620"/>
        <w:gridCol w:w="1455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农产品现代流通体系建设与农村合作金融风险控制专题培训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H192038013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团长姓名</w:t>
            </w:r>
          </w:p>
        </w:tc>
        <w:tc>
          <w:tcPr>
            <w:tcW w:w="1144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文彬</w:t>
            </w:r>
          </w:p>
        </w:tc>
        <w:tc>
          <w:tcPr>
            <w:tcW w:w="34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培训国别（含经停）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应派出人数</w:t>
            </w:r>
          </w:p>
        </w:tc>
        <w:tc>
          <w:tcPr>
            <w:tcW w:w="1144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19人</w:t>
            </w:r>
          </w:p>
        </w:tc>
        <w:tc>
          <w:tcPr>
            <w:tcW w:w="34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实际成型人数</w:t>
            </w:r>
          </w:p>
        </w:tc>
        <w:tc>
          <w:tcPr>
            <w:tcW w:w="2842" w:type="dxa"/>
            <w:gridSpan w:val="2"/>
          </w:tcPr>
          <w:p>
            <w:pPr>
              <w:ind w:left="1470" w:hanging="1680" w:hangingChars="7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出国日期</w:t>
            </w:r>
          </w:p>
        </w:tc>
        <w:tc>
          <w:tcPr>
            <w:tcW w:w="7436" w:type="dxa"/>
            <w:gridSpan w:val="5"/>
          </w:tcPr>
          <w:p>
            <w:pPr>
              <w:ind w:left="1470" w:hanging="1680" w:hangingChars="7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2019年9月1日至2019年9月14日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  <w:vMerge w:val="restart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开支内容</w:t>
            </w:r>
          </w:p>
        </w:tc>
        <w:tc>
          <w:tcPr>
            <w:tcW w:w="6049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</w:tcPr>
          <w:p>
            <w:pPr>
              <w:jc w:val="center"/>
            </w:pPr>
          </w:p>
        </w:tc>
        <w:tc>
          <w:tcPr>
            <w:tcW w:w="29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单人合计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（人民币）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18人合计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（人民币）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3" w:colFirst="1" w:colLast="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住宿费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380美元/人·天×12天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32376元</w:t>
            </w:r>
          </w:p>
        </w:tc>
        <w:tc>
          <w:tcPr>
            <w:tcW w:w="145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582768元</w:t>
            </w:r>
          </w:p>
        </w:tc>
        <w:tc>
          <w:tcPr>
            <w:tcW w:w="1387" w:type="dxa"/>
            <w:vMerge w:val="restart"/>
            <w:vAlign w:val="top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美元汇率按1美元等于7.1人民币折算（出访期间中国银行的汇率标准）。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伙食费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美元/人·天×1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6958元</w:t>
            </w: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125244元</w:t>
            </w:r>
          </w:p>
        </w:tc>
        <w:tc>
          <w:tcPr>
            <w:tcW w:w="1387" w:type="dxa"/>
            <w:vMerge w:val="continue"/>
            <w:tcBorders/>
            <w:vAlign w:val="top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公杂费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美元/人·天×1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3976元</w:t>
            </w:r>
          </w:p>
        </w:tc>
        <w:tc>
          <w:tcPr>
            <w:tcW w:w="1455" w:type="dxa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71568元</w:t>
            </w:r>
          </w:p>
        </w:tc>
        <w:tc>
          <w:tcPr>
            <w:tcW w:w="1387" w:type="dxa"/>
            <w:vMerge w:val="continue"/>
            <w:tcBorders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美元/人·天×1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6461元</w:t>
            </w: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116298元</w:t>
            </w:r>
          </w:p>
        </w:tc>
        <w:tc>
          <w:tcPr>
            <w:tcW w:w="1387" w:type="dxa"/>
            <w:vMerge w:val="continue"/>
            <w:tcBorders/>
            <w:vAlign w:val="top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国际旅费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11079元</w:t>
            </w: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199422元</w:t>
            </w:r>
          </w:p>
        </w:tc>
        <w:tc>
          <w:tcPr>
            <w:tcW w:w="1387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保险费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240元</w:t>
            </w: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4320元</w:t>
            </w:r>
          </w:p>
        </w:tc>
        <w:tc>
          <w:tcPr>
            <w:tcW w:w="1387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签证费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630元*17人</w:t>
            </w: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10710元</w:t>
            </w:r>
          </w:p>
        </w:tc>
        <w:tc>
          <w:tcPr>
            <w:tcW w:w="13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合计（人民币）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大写：壹佰壹拾壹万零叁佰叁拾圆整（￥1110330元）</w:t>
            </w:r>
          </w:p>
        </w:tc>
      </w:tr>
    </w:tbl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注：美元汇率按1美元=7.1人民币折算。</w:t>
      </w:r>
    </w:p>
    <w:p/>
    <w:p/>
    <w:p>
      <w:bookmarkStart w:id="1" w:name="_GoBack"/>
      <w:bookmarkEnd w:id="1"/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以色列嘉利利国际管理学院</w:t>
      </w:r>
    </w:p>
    <w:p>
      <w:pPr>
        <w:rPr>
          <w:rFonts w:hint="eastAsia" w:eastAsiaTheme="minorEastAsia"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797E"/>
    <w:rsid w:val="00C32AF3"/>
    <w:rsid w:val="00CD6B20"/>
    <w:rsid w:val="016F6140"/>
    <w:rsid w:val="022368B0"/>
    <w:rsid w:val="04B27978"/>
    <w:rsid w:val="056B0D62"/>
    <w:rsid w:val="06D6300A"/>
    <w:rsid w:val="085C4374"/>
    <w:rsid w:val="09992D02"/>
    <w:rsid w:val="09D64C79"/>
    <w:rsid w:val="0A273CDF"/>
    <w:rsid w:val="0AB929A2"/>
    <w:rsid w:val="0B0A5583"/>
    <w:rsid w:val="0B4E05BD"/>
    <w:rsid w:val="0CDE1F29"/>
    <w:rsid w:val="0D832075"/>
    <w:rsid w:val="0D846E12"/>
    <w:rsid w:val="0D9E3EA2"/>
    <w:rsid w:val="11CE0CA2"/>
    <w:rsid w:val="13837068"/>
    <w:rsid w:val="14D518FA"/>
    <w:rsid w:val="151534F8"/>
    <w:rsid w:val="163561DC"/>
    <w:rsid w:val="168E1570"/>
    <w:rsid w:val="171C48F7"/>
    <w:rsid w:val="19306779"/>
    <w:rsid w:val="1AAE117B"/>
    <w:rsid w:val="1BAF35E0"/>
    <w:rsid w:val="1C601636"/>
    <w:rsid w:val="1E6F7F1C"/>
    <w:rsid w:val="1FC30B1E"/>
    <w:rsid w:val="20FF0F45"/>
    <w:rsid w:val="24927523"/>
    <w:rsid w:val="251D3E49"/>
    <w:rsid w:val="26945384"/>
    <w:rsid w:val="2902797E"/>
    <w:rsid w:val="2A566B12"/>
    <w:rsid w:val="2ABC7B05"/>
    <w:rsid w:val="2B323FF8"/>
    <w:rsid w:val="2B4013BD"/>
    <w:rsid w:val="2C957A8F"/>
    <w:rsid w:val="2CB72022"/>
    <w:rsid w:val="2F157A97"/>
    <w:rsid w:val="2F524E09"/>
    <w:rsid w:val="302E4095"/>
    <w:rsid w:val="317A6A71"/>
    <w:rsid w:val="31D0339A"/>
    <w:rsid w:val="33B04594"/>
    <w:rsid w:val="34644744"/>
    <w:rsid w:val="363D0D5A"/>
    <w:rsid w:val="36E0156C"/>
    <w:rsid w:val="38F31B67"/>
    <w:rsid w:val="3E5854E6"/>
    <w:rsid w:val="3EF61D03"/>
    <w:rsid w:val="40393DFF"/>
    <w:rsid w:val="41493647"/>
    <w:rsid w:val="41635322"/>
    <w:rsid w:val="42C85D96"/>
    <w:rsid w:val="433B160E"/>
    <w:rsid w:val="43995D84"/>
    <w:rsid w:val="43D72850"/>
    <w:rsid w:val="442F3E9D"/>
    <w:rsid w:val="44B6203F"/>
    <w:rsid w:val="44B67016"/>
    <w:rsid w:val="460E4BB4"/>
    <w:rsid w:val="46F7668F"/>
    <w:rsid w:val="47430FEF"/>
    <w:rsid w:val="48F234E8"/>
    <w:rsid w:val="49035692"/>
    <w:rsid w:val="497D34C8"/>
    <w:rsid w:val="499A61B3"/>
    <w:rsid w:val="4BDC001A"/>
    <w:rsid w:val="4D293CDD"/>
    <w:rsid w:val="4DCF5E2B"/>
    <w:rsid w:val="4E1C4C9C"/>
    <w:rsid w:val="4F665D40"/>
    <w:rsid w:val="50933534"/>
    <w:rsid w:val="51714D44"/>
    <w:rsid w:val="5307347E"/>
    <w:rsid w:val="566762C9"/>
    <w:rsid w:val="57721764"/>
    <w:rsid w:val="5ABA22CD"/>
    <w:rsid w:val="5B7D7D12"/>
    <w:rsid w:val="5C5739E9"/>
    <w:rsid w:val="60C85FDB"/>
    <w:rsid w:val="61400B43"/>
    <w:rsid w:val="62363364"/>
    <w:rsid w:val="62D7137C"/>
    <w:rsid w:val="63031A59"/>
    <w:rsid w:val="63FF27B6"/>
    <w:rsid w:val="64B71F10"/>
    <w:rsid w:val="661E73B4"/>
    <w:rsid w:val="677D3E8B"/>
    <w:rsid w:val="69463B6F"/>
    <w:rsid w:val="6AEB582E"/>
    <w:rsid w:val="6D94002D"/>
    <w:rsid w:val="6F443264"/>
    <w:rsid w:val="6F6B680D"/>
    <w:rsid w:val="7062183C"/>
    <w:rsid w:val="70D71DF7"/>
    <w:rsid w:val="721A24C1"/>
    <w:rsid w:val="74D5649F"/>
    <w:rsid w:val="77011320"/>
    <w:rsid w:val="7B8D725F"/>
    <w:rsid w:val="7D3A5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2017-08-29T01:29:00Z</dcterms:created>
  <dc:creator>Administrator</dc:creator>
  <cp:lastModifiedBy>u1418962384</cp:lastModifiedBy>
  <cp:lastPrinted>2017-09-21T05:43:00Z</cp:lastPrinted>
  <dcterms:modified xsi:type="dcterms:W3CDTF">2019-10-09T07:41:14Z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